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6D48" w14:textId="2A434182" w:rsidR="00197FA6" w:rsidRPr="00FF60C8" w:rsidRDefault="00B14126" w:rsidP="00197FA6">
      <w:pPr>
        <w:tabs>
          <w:tab w:val="left" w:pos="1080"/>
        </w:tabs>
        <w:jc w:val="right"/>
        <w:rPr>
          <w:b/>
          <w:sz w:val="36"/>
          <w:szCs w:val="36"/>
        </w:rPr>
      </w:pPr>
      <w:bookmarkStart w:id="0" w:name="_Hlk21434207"/>
      <w:bookmarkStart w:id="1" w:name="_Hlk21435453"/>
      <w:r w:rsidRPr="00FF60C8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7F882711" wp14:editId="5D870692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1125220" cy="759460"/>
            <wp:effectExtent l="0" t="0" r="0" b="9525"/>
            <wp:wrapSquare wrapText="bothSides"/>
            <wp:docPr id="1" name="Picture 1" descr="logo-col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olo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FA6" w:rsidRPr="00FF60C8">
        <w:rPr>
          <w:b/>
          <w:sz w:val="36"/>
          <w:szCs w:val="36"/>
        </w:rPr>
        <w:t>CITY AUDITOR REPORT</w:t>
      </w:r>
    </w:p>
    <w:p w14:paraId="39F56A42" w14:textId="55DA1422" w:rsidR="00B14126" w:rsidRDefault="00B14126" w:rsidP="00B14126">
      <w:pPr>
        <w:tabs>
          <w:tab w:val="left" w:pos="1080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INFORMATION TECHNOLOGY - </w:t>
      </w:r>
    </w:p>
    <w:p w14:paraId="09F010F1" w14:textId="4C88DF90" w:rsidR="00197FA6" w:rsidRPr="00FF60C8" w:rsidRDefault="00B14126" w:rsidP="00B14126">
      <w:pPr>
        <w:tabs>
          <w:tab w:val="left" w:pos="1080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ASSET INVENTORY COUNT &amp; CONTROLS</w:t>
      </w:r>
    </w:p>
    <w:p w14:paraId="59C6A05A" w14:textId="3CB83B7A" w:rsidR="00197FA6" w:rsidRPr="00FF60C8" w:rsidRDefault="00EE3CAA" w:rsidP="00197FA6">
      <w:pPr>
        <w:tabs>
          <w:tab w:val="left" w:pos="108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NOVEM</w:t>
      </w:r>
      <w:r w:rsidR="00B14126">
        <w:rPr>
          <w:b/>
          <w:sz w:val="28"/>
          <w:szCs w:val="28"/>
        </w:rPr>
        <w:t xml:space="preserve">BER </w:t>
      </w:r>
      <w:r>
        <w:rPr>
          <w:b/>
          <w:sz w:val="28"/>
          <w:szCs w:val="28"/>
        </w:rPr>
        <w:t>9</w:t>
      </w:r>
      <w:r w:rsidR="00B14126">
        <w:rPr>
          <w:b/>
          <w:sz w:val="28"/>
          <w:szCs w:val="28"/>
        </w:rPr>
        <w:t>, 2020</w:t>
      </w:r>
    </w:p>
    <w:p w14:paraId="34027C61" w14:textId="63C01EA0" w:rsidR="00197FA6" w:rsidRPr="00FF60C8" w:rsidRDefault="004B6A12" w:rsidP="00197FA6">
      <w:pPr>
        <w:tabs>
          <w:tab w:val="left" w:pos="1080"/>
        </w:tabs>
        <w:jc w:val="right"/>
        <w:rPr>
          <w:b/>
          <w:sz w:val="28"/>
          <w:szCs w:val="28"/>
        </w:rPr>
      </w:pPr>
      <w:r w:rsidRPr="00FF60C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FD62" wp14:editId="792FA6E8">
                <wp:simplePos x="0" y="0"/>
                <wp:positionH relativeFrom="margin">
                  <wp:posOffset>-225425</wp:posOffset>
                </wp:positionH>
                <wp:positionV relativeFrom="paragraph">
                  <wp:posOffset>96520</wp:posOffset>
                </wp:positionV>
                <wp:extent cx="720090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9540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75pt,7.6pt" to="549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E6A6D5A" w14:textId="11F4353B" w:rsidR="00F442A2" w:rsidRDefault="00F442A2" w:rsidP="00197FA6">
      <w:pPr>
        <w:tabs>
          <w:tab w:val="left" w:pos="1080"/>
        </w:tabs>
        <w:rPr>
          <w:b/>
          <w:sz w:val="24"/>
          <w:szCs w:val="24"/>
          <w:u w:val="single"/>
        </w:rPr>
      </w:pPr>
    </w:p>
    <w:p w14:paraId="11FECB19" w14:textId="77777777" w:rsidR="002F4F0D" w:rsidRPr="00C8784E" w:rsidRDefault="002F4F0D" w:rsidP="002F4F0D">
      <w:pPr>
        <w:rPr>
          <w:b/>
          <w:bCs/>
          <w:sz w:val="24"/>
          <w:szCs w:val="24"/>
        </w:rPr>
      </w:pPr>
    </w:p>
    <w:p w14:paraId="21A12577" w14:textId="77777777" w:rsidR="00311FC3" w:rsidRDefault="002F4F0D" w:rsidP="002F4F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THIS AUDIT </w:t>
      </w:r>
      <w:r w:rsidR="000B1581">
        <w:rPr>
          <w:b/>
          <w:bCs/>
          <w:sz w:val="24"/>
          <w:szCs w:val="24"/>
        </w:rPr>
        <w:t xml:space="preserve">PROJECT’S SCOPE COVERS </w:t>
      </w:r>
      <w:r>
        <w:rPr>
          <w:b/>
          <w:bCs/>
          <w:sz w:val="24"/>
          <w:szCs w:val="24"/>
        </w:rPr>
        <w:t xml:space="preserve">SECURITY-SENSITIVE INFORMATION FOR WHICH THE </w:t>
      </w:r>
      <w:r w:rsidR="000B1581">
        <w:rPr>
          <w:b/>
          <w:bCs/>
          <w:sz w:val="24"/>
          <w:szCs w:val="24"/>
        </w:rPr>
        <w:t xml:space="preserve">OPEN RECORDS ACT </w:t>
      </w:r>
      <w:r>
        <w:rPr>
          <w:b/>
          <w:bCs/>
          <w:sz w:val="24"/>
          <w:szCs w:val="24"/>
        </w:rPr>
        <w:t>DISCLOSURE EXCEPTIONS PROVIDED BY K.S.A. 45-221</w:t>
      </w:r>
      <w:r w:rsidR="000B1581">
        <w:rPr>
          <w:b/>
          <w:bCs/>
          <w:sz w:val="24"/>
          <w:szCs w:val="24"/>
        </w:rPr>
        <w:t xml:space="preserve"> (a) (12)</w:t>
      </w:r>
      <w:r>
        <w:rPr>
          <w:b/>
          <w:bCs/>
          <w:sz w:val="24"/>
          <w:szCs w:val="24"/>
        </w:rPr>
        <w:t xml:space="preserve"> APPLY.  </w:t>
      </w:r>
      <w:r w:rsidR="000B1581">
        <w:rPr>
          <w:b/>
          <w:bCs/>
          <w:sz w:val="24"/>
          <w:szCs w:val="24"/>
        </w:rPr>
        <w:t xml:space="preserve"> DUE TO THIS, THESE SECURITY-SENSITIVE DETAILS HAVE BEEN PROVIDED </w:t>
      </w:r>
      <w:r w:rsidR="000B1581" w:rsidRPr="000B1581">
        <w:rPr>
          <w:b/>
          <w:bCs/>
          <w:i/>
          <w:iCs/>
          <w:sz w:val="24"/>
          <w:szCs w:val="24"/>
        </w:rPr>
        <w:t>ONLY</w:t>
      </w:r>
      <w:r w:rsidR="000B1581">
        <w:rPr>
          <w:b/>
          <w:bCs/>
          <w:sz w:val="24"/>
          <w:szCs w:val="24"/>
        </w:rPr>
        <w:t xml:space="preserve"> TO THE OLATHE CITY COUNCIL AND SELECT MEMBERS OF THE EXECUTIVE MANAGEMENT TEAM</w:t>
      </w:r>
      <w:r>
        <w:rPr>
          <w:b/>
          <w:bCs/>
          <w:sz w:val="24"/>
          <w:szCs w:val="24"/>
        </w:rPr>
        <w:t>.</w:t>
      </w:r>
      <w:r w:rsidR="000B1581">
        <w:rPr>
          <w:b/>
          <w:bCs/>
          <w:sz w:val="24"/>
          <w:szCs w:val="24"/>
        </w:rPr>
        <w:t xml:space="preserve"> </w:t>
      </w:r>
    </w:p>
    <w:p w14:paraId="7C347929" w14:textId="77777777" w:rsidR="00311FC3" w:rsidRDefault="00311FC3" w:rsidP="002F4F0D">
      <w:pPr>
        <w:rPr>
          <w:b/>
          <w:bCs/>
          <w:sz w:val="24"/>
          <w:szCs w:val="24"/>
        </w:rPr>
      </w:pPr>
    </w:p>
    <w:p w14:paraId="76C23527" w14:textId="3E2713EE" w:rsidR="002F4F0D" w:rsidRPr="001D7F5E" w:rsidRDefault="000B1581" w:rsidP="002F4F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BELOW IS A DESCRIPTION OF THE PROJECT’S PURPOSE AND SCOPE FOR GENERAL PUBLIC INFORMATION.</w:t>
      </w:r>
    </w:p>
    <w:p w14:paraId="60AAC2C4" w14:textId="77777777" w:rsidR="002F4F0D" w:rsidRDefault="002F4F0D" w:rsidP="00197FA6">
      <w:pPr>
        <w:tabs>
          <w:tab w:val="left" w:pos="1080"/>
        </w:tabs>
        <w:rPr>
          <w:b/>
          <w:sz w:val="24"/>
          <w:szCs w:val="24"/>
          <w:u w:val="single"/>
        </w:rPr>
      </w:pPr>
    </w:p>
    <w:p w14:paraId="12B3BBD7" w14:textId="3FB87FE8" w:rsidR="00B14126" w:rsidRDefault="00B14126" w:rsidP="00197FA6">
      <w:pPr>
        <w:tabs>
          <w:tab w:val="left" w:pos="10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INTRODUCTION</w:t>
      </w:r>
    </w:p>
    <w:p w14:paraId="7B11CB47" w14:textId="6B4815EC" w:rsidR="00B14126" w:rsidRDefault="00B14126" w:rsidP="00B1412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2019, the Information Technology (IT) department began conducting a City-wide inventory of technology/computer assets.  The count was begun to verify the assets in City possession and confirm that asset records accurately and completely reflected assets on hand.  Four main locations/departments inventory were counted when the COVID-19 pandemic and related staff furloughs interrupted progress.  Management took advantage of this pause to begin evaluating criteria used to select assets to be counted.  </w:t>
      </w:r>
    </w:p>
    <w:p w14:paraId="74B058CD" w14:textId="77777777" w:rsidR="00B14126" w:rsidRDefault="00B14126" w:rsidP="00B14126">
      <w:pPr>
        <w:jc w:val="both"/>
        <w:rPr>
          <w:bCs/>
          <w:sz w:val="24"/>
          <w:szCs w:val="24"/>
        </w:rPr>
      </w:pPr>
    </w:p>
    <w:p w14:paraId="2C4BB3F9" w14:textId="77777777" w:rsidR="00B14126" w:rsidRPr="00D01CDC" w:rsidRDefault="00B14126" w:rsidP="00B1412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AUDIT </w:t>
      </w:r>
      <w:r w:rsidRPr="00D01CDC">
        <w:rPr>
          <w:b/>
          <w:sz w:val="24"/>
          <w:szCs w:val="24"/>
          <w:u w:val="single"/>
        </w:rPr>
        <w:t>SCOPE</w:t>
      </w:r>
    </w:p>
    <w:p w14:paraId="6F4428E7" w14:textId="63DE8310" w:rsidR="00B14126" w:rsidRDefault="00B14126" w:rsidP="00B14126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D01CDC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focus for the IT Asset Inventory audit was on review of documentation, count methods, and segregation of duties for the inventory counted to date.  Additionally, IT asset records and tracking/monitoring controls were assessed, as risks in these areas are elevated by the rise of pandemic ‘work from home’ technology use outside City premises.  To assess a control or method in these areas, the following gauges were used: </w:t>
      </w:r>
    </w:p>
    <w:p w14:paraId="0FAA09F2" w14:textId="75D9ED3E" w:rsidR="00B14126" w:rsidRDefault="00B14126" w:rsidP="00B14126">
      <w:pPr>
        <w:pStyle w:val="ListParagraph"/>
        <w:numPr>
          <w:ilvl w:val="0"/>
          <w:numId w:val="7"/>
        </w:numPr>
        <w:contextualSpacing/>
        <w:rPr>
          <w:b/>
          <w:bCs/>
          <w:sz w:val="24"/>
          <w:szCs w:val="24"/>
        </w:rPr>
      </w:pPr>
      <w:r w:rsidRPr="00BF3C6B">
        <w:rPr>
          <w:sz w:val="24"/>
          <w:szCs w:val="24"/>
        </w:rPr>
        <w:t xml:space="preserve">applicable sections of the National Institute of Standards and Technology (NIST) </w:t>
      </w:r>
      <w:r w:rsidRPr="00BF3C6B">
        <w:rPr>
          <w:i/>
          <w:iCs/>
          <w:sz w:val="24"/>
          <w:szCs w:val="24"/>
        </w:rPr>
        <w:t xml:space="preserve">‘Framework for Improving Critical Infrastructure Cybersecurity’ </w:t>
      </w:r>
      <w:r>
        <w:rPr>
          <w:b/>
          <w:bCs/>
          <w:sz w:val="24"/>
          <w:szCs w:val="24"/>
        </w:rPr>
        <w:t>(overview included for reference at Appendix I</w:t>
      </w:r>
      <w:r w:rsidR="00311FC3">
        <w:rPr>
          <w:b/>
          <w:bCs/>
          <w:sz w:val="24"/>
          <w:szCs w:val="24"/>
        </w:rPr>
        <w:t>, following</w:t>
      </w:r>
      <w:r>
        <w:rPr>
          <w:b/>
          <w:bCs/>
          <w:sz w:val="24"/>
          <w:szCs w:val="24"/>
        </w:rPr>
        <w:t xml:space="preserve">) </w:t>
      </w:r>
    </w:p>
    <w:p w14:paraId="094C3B1F" w14:textId="21C8C715" w:rsidR="00B14126" w:rsidRPr="00B14126" w:rsidRDefault="00B14126" w:rsidP="00B14126">
      <w:pPr>
        <w:pStyle w:val="ListParagraph"/>
        <w:numPr>
          <w:ilvl w:val="0"/>
          <w:numId w:val="7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to supplement interpretation of the above Framework, </w:t>
      </w:r>
      <w:r w:rsidRPr="001D7F5E">
        <w:rPr>
          <w:sz w:val="24"/>
          <w:szCs w:val="24"/>
        </w:rPr>
        <w:t>applicable section</w:t>
      </w:r>
      <w:r>
        <w:rPr>
          <w:sz w:val="24"/>
          <w:szCs w:val="24"/>
        </w:rPr>
        <w:t>s</w:t>
      </w:r>
      <w:r w:rsidRPr="001D7F5E">
        <w:rPr>
          <w:sz w:val="24"/>
          <w:szCs w:val="24"/>
        </w:rPr>
        <w:t xml:space="preserve"> of NIST Special Publication 800-53 </w:t>
      </w:r>
      <w:r w:rsidRPr="004A190D">
        <w:rPr>
          <w:i/>
          <w:iCs/>
          <w:sz w:val="24"/>
          <w:szCs w:val="24"/>
        </w:rPr>
        <w:t>‘</w:t>
      </w:r>
      <w:r w:rsidRPr="004A190D">
        <w:rPr>
          <w:rFonts w:ascii="Arial" w:hAnsi="Arial" w:cs="Arial"/>
          <w:bCs/>
          <w:i/>
          <w:iCs/>
        </w:rPr>
        <w:t>Security and Privacy Controls for Federal Information Systems and Organizations’</w:t>
      </w:r>
    </w:p>
    <w:p w14:paraId="0663DCCB" w14:textId="2A61B4D7" w:rsidR="00B14126" w:rsidRPr="00BF3C6B" w:rsidRDefault="00B14126" w:rsidP="00B14126">
      <w:pPr>
        <w:pStyle w:val="ListParagraph"/>
        <w:numPr>
          <w:ilvl w:val="0"/>
          <w:numId w:val="7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sound/commonly used internal control principles</w:t>
      </w:r>
    </w:p>
    <w:p w14:paraId="2E8A3018" w14:textId="77777777" w:rsidR="00B14126" w:rsidRPr="00C8784E" w:rsidRDefault="00B14126" w:rsidP="00B14126">
      <w:pPr>
        <w:pStyle w:val="ListParagraph"/>
        <w:contextualSpacing/>
        <w:rPr>
          <w:b/>
          <w:bCs/>
          <w:sz w:val="24"/>
          <w:szCs w:val="24"/>
        </w:rPr>
      </w:pPr>
    </w:p>
    <w:p w14:paraId="1B34C340" w14:textId="25FC7524" w:rsidR="00B14126" w:rsidRPr="00D01CDC" w:rsidRDefault="00B14126" w:rsidP="00B14126">
      <w:pPr>
        <w:rPr>
          <w:sz w:val="24"/>
          <w:szCs w:val="24"/>
        </w:rPr>
      </w:pPr>
      <w:r w:rsidRPr="00D01CDC">
        <w:rPr>
          <w:sz w:val="24"/>
          <w:szCs w:val="24"/>
        </w:rPr>
        <w:t>The scope of th</w:t>
      </w:r>
      <w:r>
        <w:rPr>
          <w:sz w:val="24"/>
          <w:szCs w:val="24"/>
        </w:rPr>
        <w:t>is</w:t>
      </w:r>
      <w:r w:rsidRPr="00D01CDC">
        <w:rPr>
          <w:sz w:val="24"/>
          <w:szCs w:val="24"/>
        </w:rPr>
        <w:t xml:space="preserve"> audit </w:t>
      </w:r>
      <w:r w:rsidR="00311FC3">
        <w:rPr>
          <w:sz w:val="24"/>
          <w:szCs w:val="24"/>
        </w:rPr>
        <w:t>included</w:t>
      </w:r>
      <w:r w:rsidRPr="00D01CDC">
        <w:rPr>
          <w:sz w:val="24"/>
          <w:szCs w:val="24"/>
        </w:rPr>
        <w:t xml:space="preserve"> review, testing and a</w:t>
      </w:r>
      <w:r>
        <w:rPr>
          <w:sz w:val="24"/>
          <w:szCs w:val="24"/>
        </w:rPr>
        <w:t xml:space="preserve">ssessment </w:t>
      </w:r>
      <w:r w:rsidRPr="00D01CDC">
        <w:rPr>
          <w:sz w:val="24"/>
          <w:szCs w:val="24"/>
        </w:rPr>
        <w:t>of:</w:t>
      </w:r>
    </w:p>
    <w:p w14:paraId="5233361B" w14:textId="77777777" w:rsidR="00B14126" w:rsidRDefault="00B14126" w:rsidP="00B1412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Counted IT inventory documentation and records </w:t>
      </w:r>
    </w:p>
    <w:p w14:paraId="11AF8B12" w14:textId="77777777" w:rsidR="00B14126" w:rsidRPr="00D01CDC" w:rsidRDefault="00B14126" w:rsidP="00B1412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Asset categories counted/planned for counting</w:t>
      </w:r>
    </w:p>
    <w:p w14:paraId="1676DC2D" w14:textId="77777777" w:rsidR="00B14126" w:rsidRDefault="00B14126" w:rsidP="00B1412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 and count documentation segregation of duties (</w:t>
      </w:r>
      <w:r>
        <w:rPr>
          <w:i/>
          <w:iCs/>
          <w:sz w:val="24"/>
          <w:szCs w:val="24"/>
        </w:rPr>
        <w:t>or</w:t>
      </w:r>
      <w:r>
        <w:rPr>
          <w:sz w:val="24"/>
          <w:szCs w:val="24"/>
        </w:rPr>
        <w:t xml:space="preserve"> compensating controls)</w:t>
      </w:r>
    </w:p>
    <w:p w14:paraId="68E96B62" w14:textId="77777777" w:rsidR="00B14126" w:rsidRDefault="00B14126" w:rsidP="00B1412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Asset controls in place to identify transfers, additions, and disposals </w:t>
      </w:r>
    </w:p>
    <w:p w14:paraId="5DC981EA" w14:textId="77777777" w:rsidR="00B14126" w:rsidRDefault="00B14126" w:rsidP="00B1412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Policies or guidelines established for inventory count timing, frequency, and methodology</w:t>
      </w:r>
    </w:p>
    <w:p w14:paraId="188B769D" w14:textId="702F5C5C" w:rsidR="00B14126" w:rsidRPr="000968CD" w:rsidRDefault="00B14126" w:rsidP="00197FA6">
      <w:pPr>
        <w:numPr>
          <w:ilvl w:val="0"/>
          <w:numId w:val="1"/>
        </w:numPr>
        <w:rPr>
          <w:bCs/>
          <w:sz w:val="24"/>
          <w:szCs w:val="24"/>
        </w:rPr>
      </w:pPr>
      <w:r w:rsidRPr="002F4F0D">
        <w:rPr>
          <w:sz w:val="24"/>
          <w:szCs w:val="24"/>
        </w:rPr>
        <w:t>Tracking systems and/or monitoring controls for the location, custody and access of assets</w:t>
      </w:r>
    </w:p>
    <w:p w14:paraId="63F73732" w14:textId="3E6667E2" w:rsidR="000968CD" w:rsidRDefault="000968CD" w:rsidP="000968CD">
      <w:pPr>
        <w:rPr>
          <w:sz w:val="24"/>
          <w:szCs w:val="24"/>
        </w:rPr>
      </w:pPr>
    </w:p>
    <w:p w14:paraId="79AC1632" w14:textId="34D78D92" w:rsidR="00311FC3" w:rsidRDefault="00311FC3" w:rsidP="000968CD">
      <w:pPr>
        <w:rPr>
          <w:sz w:val="24"/>
          <w:szCs w:val="24"/>
        </w:rPr>
      </w:pPr>
    </w:p>
    <w:p w14:paraId="4C5EE617" w14:textId="6FADE834" w:rsidR="00311FC3" w:rsidRDefault="00311FC3" w:rsidP="000968CD">
      <w:pPr>
        <w:rPr>
          <w:sz w:val="24"/>
          <w:szCs w:val="24"/>
        </w:rPr>
      </w:pPr>
    </w:p>
    <w:p w14:paraId="7DB209A6" w14:textId="322921C3" w:rsidR="00311FC3" w:rsidRDefault="00311FC3" w:rsidP="000968CD">
      <w:pPr>
        <w:rPr>
          <w:sz w:val="24"/>
          <w:szCs w:val="24"/>
        </w:rPr>
      </w:pPr>
    </w:p>
    <w:p w14:paraId="13544211" w14:textId="423CE65A" w:rsidR="000968CD" w:rsidRDefault="00A71EED" w:rsidP="000968CD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5DE68F" wp14:editId="1F3F23DF">
            <wp:extent cx="6751123" cy="8296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7917" cy="830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21A0F523" w14:textId="01D26D3B" w:rsidR="000968CD" w:rsidRPr="002F4F0D" w:rsidRDefault="000968CD" w:rsidP="000968CD">
      <w:pPr>
        <w:jc w:val="center"/>
        <w:rPr>
          <w:bCs/>
          <w:sz w:val="24"/>
          <w:szCs w:val="24"/>
        </w:rPr>
      </w:pPr>
    </w:p>
    <w:bookmarkEnd w:id="0"/>
    <w:bookmarkEnd w:id="1"/>
    <w:sectPr w:rsidR="000968CD" w:rsidRPr="002F4F0D" w:rsidSect="000968CD">
      <w:footerReference w:type="default" r:id="rId10"/>
      <w:pgSz w:w="12240" w:h="15840"/>
      <w:pgMar w:top="864" w:right="1152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AF2B2" w14:textId="77777777" w:rsidR="00FC296D" w:rsidRDefault="008B6B34">
      <w:r>
        <w:separator/>
      </w:r>
    </w:p>
  </w:endnote>
  <w:endnote w:type="continuationSeparator" w:id="0">
    <w:p w14:paraId="41AB5A1A" w14:textId="77777777" w:rsidR="00FC296D" w:rsidRDefault="008B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CC42E" w14:textId="77777777" w:rsidR="00311FC3" w:rsidRDefault="00311FC3" w:rsidP="00311FC3">
    <w:pPr>
      <w:pStyle w:val="Footer"/>
      <w:rPr>
        <w:rFonts w:ascii="Verdana" w:hAnsi="Verdana"/>
        <w:color w:val="000000"/>
        <w:sz w:val="18"/>
        <w:szCs w:val="18"/>
        <w:shd w:val="clear" w:color="auto" w:fill="FFFFFF"/>
      </w:rPr>
    </w:pPr>
    <w:r w:rsidRPr="00167F39">
      <w:rPr>
        <w:b/>
        <w:bCs/>
      </w:rPr>
      <w:t>This report is</w:t>
    </w:r>
    <w:r>
      <w:t xml:space="preserve"> </w:t>
    </w:r>
    <w:r w:rsidRPr="00167F39">
      <w:rPr>
        <w:b/>
        <w:bCs/>
      </w:rPr>
      <w:t>Security Confidential. Not for Public Dissemination</w:t>
    </w:r>
    <w:r>
      <w:rPr>
        <w:b/>
        <w:bCs/>
      </w:rPr>
      <w:t>, per Kansas Open Records Act</w:t>
    </w:r>
    <w:r w:rsidRPr="00167F39">
      <w:rPr>
        <w:b/>
        <w:bCs/>
      </w:rPr>
      <w:t xml:space="preserve"> Exemption </w:t>
    </w:r>
    <w:r>
      <w:rPr>
        <w:b/>
        <w:bCs/>
      </w:rPr>
      <w:t xml:space="preserve">K.S.A. </w:t>
    </w:r>
    <w:r w:rsidRPr="00167F39">
      <w:rPr>
        <w:b/>
        <w:bCs/>
      </w:rPr>
      <w:t>45-221 section a-12, a-45 and g.</w:t>
    </w:r>
    <w:r>
      <w:t xml:space="preserve"> </w:t>
    </w:r>
    <w:r>
      <w:rPr>
        <w:rFonts w:ascii="Verdana" w:hAnsi="Verdana"/>
        <w:color w:val="000000"/>
        <w:sz w:val="18"/>
        <w:szCs w:val="18"/>
        <w:shd w:val="clear" w:color="auto" w:fill="FFFFFF"/>
      </w:rPr>
      <w:tab/>
    </w:r>
    <w:r>
      <w:rPr>
        <w:rFonts w:ascii="Verdana" w:hAnsi="Verdana"/>
        <w:color w:val="000000"/>
        <w:sz w:val="18"/>
        <w:szCs w:val="18"/>
        <w:shd w:val="clear" w:color="auto" w:fill="FFFFFF"/>
      </w:rPr>
      <w:tab/>
      <w:t xml:space="preserve">   </w:t>
    </w:r>
  </w:p>
  <w:p w14:paraId="72C4E63C" w14:textId="77777777" w:rsidR="009C7D35" w:rsidRDefault="009C7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87D8A" w14:textId="77777777" w:rsidR="00FC296D" w:rsidRDefault="008B6B34">
      <w:r>
        <w:separator/>
      </w:r>
    </w:p>
  </w:footnote>
  <w:footnote w:type="continuationSeparator" w:id="0">
    <w:p w14:paraId="395D68D6" w14:textId="77777777" w:rsidR="00FC296D" w:rsidRDefault="008B6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92C"/>
    <w:multiLevelType w:val="hybridMultilevel"/>
    <w:tmpl w:val="06B6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87661"/>
    <w:multiLevelType w:val="hybridMultilevel"/>
    <w:tmpl w:val="C1F0C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86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62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EA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6F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CC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69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E5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C9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A11F90"/>
    <w:multiLevelType w:val="hybridMultilevel"/>
    <w:tmpl w:val="419EB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76012"/>
    <w:multiLevelType w:val="hybridMultilevel"/>
    <w:tmpl w:val="C8480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223"/>
    <w:multiLevelType w:val="hybridMultilevel"/>
    <w:tmpl w:val="B08A46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65CD4"/>
    <w:multiLevelType w:val="hybridMultilevel"/>
    <w:tmpl w:val="F8F20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F32A05"/>
    <w:multiLevelType w:val="hybridMultilevel"/>
    <w:tmpl w:val="1BA25B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A6"/>
    <w:rsid w:val="00035B01"/>
    <w:rsid w:val="00044E90"/>
    <w:rsid w:val="00076827"/>
    <w:rsid w:val="00092D79"/>
    <w:rsid w:val="000968CD"/>
    <w:rsid w:val="000A1728"/>
    <w:rsid w:val="000B1581"/>
    <w:rsid w:val="000B289C"/>
    <w:rsid w:val="000C1A77"/>
    <w:rsid w:val="000C6181"/>
    <w:rsid w:val="00111BAC"/>
    <w:rsid w:val="0013530D"/>
    <w:rsid w:val="00197FA6"/>
    <w:rsid w:val="001A1C84"/>
    <w:rsid w:val="001C0590"/>
    <w:rsid w:val="001C10F1"/>
    <w:rsid w:val="001D40B8"/>
    <w:rsid w:val="00226380"/>
    <w:rsid w:val="002316CB"/>
    <w:rsid w:val="002547B6"/>
    <w:rsid w:val="00254DA6"/>
    <w:rsid w:val="002A331E"/>
    <w:rsid w:val="002E4799"/>
    <w:rsid w:val="002F4F0D"/>
    <w:rsid w:val="00311FC3"/>
    <w:rsid w:val="003C27A6"/>
    <w:rsid w:val="003D08C4"/>
    <w:rsid w:val="003D7779"/>
    <w:rsid w:val="003F6685"/>
    <w:rsid w:val="004045BF"/>
    <w:rsid w:val="004501E8"/>
    <w:rsid w:val="004706CE"/>
    <w:rsid w:val="0047121F"/>
    <w:rsid w:val="00474C86"/>
    <w:rsid w:val="00482A23"/>
    <w:rsid w:val="004A761C"/>
    <w:rsid w:val="004B6A12"/>
    <w:rsid w:val="004B7B9D"/>
    <w:rsid w:val="004C4C6A"/>
    <w:rsid w:val="004C6E8F"/>
    <w:rsid w:val="004D1F49"/>
    <w:rsid w:val="004F1080"/>
    <w:rsid w:val="00516F54"/>
    <w:rsid w:val="00526A97"/>
    <w:rsid w:val="00542776"/>
    <w:rsid w:val="0058174B"/>
    <w:rsid w:val="00594BC9"/>
    <w:rsid w:val="005A786A"/>
    <w:rsid w:val="005E367C"/>
    <w:rsid w:val="005F4F8B"/>
    <w:rsid w:val="00607506"/>
    <w:rsid w:val="006918DB"/>
    <w:rsid w:val="0069298B"/>
    <w:rsid w:val="006A4C6A"/>
    <w:rsid w:val="006A6BF2"/>
    <w:rsid w:val="006C1505"/>
    <w:rsid w:val="006D7776"/>
    <w:rsid w:val="00721BCF"/>
    <w:rsid w:val="00761800"/>
    <w:rsid w:val="00775F4A"/>
    <w:rsid w:val="007E206D"/>
    <w:rsid w:val="008254D8"/>
    <w:rsid w:val="0083040D"/>
    <w:rsid w:val="00890510"/>
    <w:rsid w:val="00893256"/>
    <w:rsid w:val="008B6B34"/>
    <w:rsid w:val="008C16AE"/>
    <w:rsid w:val="00965A90"/>
    <w:rsid w:val="009702A0"/>
    <w:rsid w:val="00993DE2"/>
    <w:rsid w:val="00994F6E"/>
    <w:rsid w:val="009A67DB"/>
    <w:rsid w:val="009C7D35"/>
    <w:rsid w:val="009F2E7C"/>
    <w:rsid w:val="00A642EA"/>
    <w:rsid w:val="00A71EED"/>
    <w:rsid w:val="00A867C2"/>
    <w:rsid w:val="00AF54E4"/>
    <w:rsid w:val="00B0657D"/>
    <w:rsid w:val="00B14126"/>
    <w:rsid w:val="00B20052"/>
    <w:rsid w:val="00B222AC"/>
    <w:rsid w:val="00B222F3"/>
    <w:rsid w:val="00B46444"/>
    <w:rsid w:val="00BA4D6C"/>
    <w:rsid w:val="00BB10A8"/>
    <w:rsid w:val="00BC0F2E"/>
    <w:rsid w:val="00BC2DE5"/>
    <w:rsid w:val="00BE305D"/>
    <w:rsid w:val="00BE67CA"/>
    <w:rsid w:val="00BF4DFC"/>
    <w:rsid w:val="00C02309"/>
    <w:rsid w:val="00C13885"/>
    <w:rsid w:val="00C2323E"/>
    <w:rsid w:val="00C33BFA"/>
    <w:rsid w:val="00C355C9"/>
    <w:rsid w:val="00C82C22"/>
    <w:rsid w:val="00CA649A"/>
    <w:rsid w:val="00CC089D"/>
    <w:rsid w:val="00CE3870"/>
    <w:rsid w:val="00CE5E0A"/>
    <w:rsid w:val="00CE7A40"/>
    <w:rsid w:val="00D136CC"/>
    <w:rsid w:val="00D262FF"/>
    <w:rsid w:val="00D71A33"/>
    <w:rsid w:val="00D87651"/>
    <w:rsid w:val="00DB2BAF"/>
    <w:rsid w:val="00DB305E"/>
    <w:rsid w:val="00DB5279"/>
    <w:rsid w:val="00DC0A75"/>
    <w:rsid w:val="00DC360E"/>
    <w:rsid w:val="00DE3F97"/>
    <w:rsid w:val="00E308F2"/>
    <w:rsid w:val="00E528E5"/>
    <w:rsid w:val="00E570F7"/>
    <w:rsid w:val="00E6440E"/>
    <w:rsid w:val="00E65FD4"/>
    <w:rsid w:val="00E8385E"/>
    <w:rsid w:val="00EB2FCB"/>
    <w:rsid w:val="00EC637F"/>
    <w:rsid w:val="00EC63F5"/>
    <w:rsid w:val="00ED605A"/>
    <w:rsid w:val="00EE3CAA"/>
    <w:rsid w:val="00EF7B78"/>
    <w:rsid w:val="00F17F4A"/>
    <w:rsid w:val="00F20AE4"/>
    <w:rsid w:val="00F27F8F"/>
    <w:rsid w:val="00F442A2"/>
    <w:rsid w:val="00FA0F57"/>
    <w:rsid w:val="00FB04B4"/>
    <w:rsid w:val="00FC296D"/>
    <w:rsid w:val="00FD1205"/>
    <w:rsid w:val="00FD6726"/>
    <w:rsid w:val="00FE7649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1054141A"/>
  <w15:chartTrackingRefBased/>
  <w15:docId w15:val="{0419D556-EB3A-4DB5-8A8B-B551FB9B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FA6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197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FA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19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F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A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2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D7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0C1A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A135-D1B4-4950-8082-5A9B44DE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Vassar</dc:creator>
  <cp:keywords/>
  <dc:description/>
  <cp:lastModifiedBy>Mary Ann Vassar</cp:lastModifiedBy>
  <cp:revision>3</cp:revision>
  <dcterms:created xsi:type="dcterms:W3CDTF">2020-11-09T17:38:00Z</dcterms:created>
  <dcterms:modified xsi:type="dcterms:W3CDTF">2020-11-09T17:43:00Z</dcterms:modified>
</cp:coreProperties>
</file>